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04C" w:rsidRPr="00A54078" w:rsidRDefault="00355493" w:rsidP="00B22ADE">
      <w:pPr>
        <w:shd w:val="clear" w:color="auto" w:fill="D9D9D9" w:themeFill="background1" w:themeFillShade="D9"/>
        <w:spacing w:line="240" w:lineRule="auto"/>
        <w:jc w:val="center"/>
        <w:rPr>
          <w:rFonts w:ascii="Segoe UI Semibold" w:hAnsi="Segoe UI Semibold" w:cs="Andalus"/>
          <w:b/>
          <w:bCs/>
          <w:sz w:val="40"/>
          <w:szCs w:val="40"/>
          <w:u w:val="single"/>
        </w:rPr>
      </w:pPr>
      <w:r w:rsidRPr="00A54078">
        <w:rPr>
          <w:rFonts w:ascii="Segoe UI Semibold" w:hAnsi="Segoe UI Semibold" w:cs="Andalus"/>
          <w:b/>
          <w:bCs/>
          <w:sz w:val="40"/>
          <w:szCs w:val="40"/>
          <w:u w:val="single"/>
        </w:rPr>
        <w:t xml:space="preserve">Tanta University </w:t>
      </w:r>
      <w:r w:rsidR="002C3FD2" w:rsidRPr="00A54078">
        <w:rPr>
          <w:rFonts w:ascii="Segoe UI Semibold" w:hAnsi="Segoe UI Semibold" w:cs="Andalus"/>
          <w:b/>
          <w:bCs/>
          <w:sz w:val="40"/>
          <w:szCs w:val="40"/>
          <w:u w:val="single"/>
        </w:rPr>
        <w:t>Environmental</w:t>
      </w:r>
      <w:r w:rsidRPr="00A54078">
        <w:rPr>
          <w:rFonts w:ascii="Segoe UI Semibold" w:hAnsi="Segoe UI Semibold" w:cs="Andalus"/>
          <w:b/>
          <w:bCs/>
          <w:sz w:val="40"/>
          <w:szCs w:val="40"/>
          <w:u w:val="single"/>
        </w:rPr>
        <w:t xml:space="preserve"> </w:t>
      </w:r>
      <w:r w:rsidR="002C3FD2" w:rsidRPr="00A54078">
        <w:rPr>
          <w:rFonts w:ascii="Segoe UI Semibold" w:hAnsi="Segoe UI Semibold" w:cs="Andalus"/>
          <w:b/>
          <w:bCs/>
          <w:sz w:val="40"/>
          <w:szCs w:val="40"/>
          <w:u w:val="single"/>
        </w:rPr>
        <w:t>Forum</w:t>
      </w:r>
    </w:p>
    <w:p w:rsidR="00B22ADE" w:rsidRPr="00A54078" w:rsidRDefault="00B22ADE" w:rsidP="00773396">
      <w:pPr>
        <w:spacing w:line="240" w:lineRule="auto"/>
        <w:jc w:val="center"/>
        <w:rPr>
          <w:rFonts w:ascii="Agency FB" w:hAnsi="Agency FB" w:cstheme="majorBidi"/>
          <w:b/>
          <w:bCs/>
          <w:sz w:val="40"/>
          <w:szCs w:val="40"/>
        </w:rPr>
      </w:pPr>
    </w:p>
    <w:p w:rsidR="00B22ADE" w:rsidRPr="00A54078" w:rsidRDefault="00B22ADE" w:rsidP="00773396">
      <w:pPr>
        <w:spacing w:line="240" w:lineRule="auto"/>
        <w:jc w:val="center"/>
        <w:rPr>
          <w:rFonts w:ascii="Agency FB" w:hAnsi="Agency FB" w:cstheme="majorBidi"/>
          <w:b/>
          <w:bCs/>
          <w:sz w:val="40"/>
          <w:szCs w:val="40"/>
        </w:rPr>
      </w:pPr>
    </w:p>
    <w:p w:rsidR="00355493" w:rsidRPr="00A54078" w:rsidRDefault="00355493" w:rsidP="00773396">
      <w:pPr>
        <w:spacing w:line="240" w:lineRule="auto"/>
        <w:jc w:val="center"/>
        <w:rPr>
          <w:rFonts w:ascii="Agency FB" w:hAnsi="Agency FB" w:cstheme="majorBidi"/>
          <w:b/>
          <w:bCs/>
          <w:color w:val="FF0000"/>
          <w:sz w:val="40"/>
          <w:szCs w:val="40"/>
        </w:rPr>
      </w:pPr>
      <w:r w:rsidRPr="00A54078">
        <w:rPr>
          <w:rFonts w:ascii="Agency FB" w:hAnsi="Agency FB" w:cstheme="majorBidi"/>
          <w:b/>
          <w:bCs/>
          <w:color w:val="FF0000"/>
          <w:sz w:val="40"/>
          <w:szCs w:val="40"/>
        </w:rPr>
        <w:t>Workshop</w:t>
      </w:r>
    </w:p>
    <w:p w:rsidR="00355493" w:rsidRPr="00A54078" w:rsidRDefault="002C3FD2" w:rsidP="002C68D0">
      <w:pPr>
        <w:spacing w:line="240" w:lineRule="auto"/>
        <w:jc w:val="center"/>
        <w:rPr>
          <w:rFonts w:ascii="Agency FB" w:hAnsi="Agency FB" w:cstheme="majorBidi"/>
          <w:b/>
          <w:bCs/>
          <w:sz w:val="40"/>
          <w:szCs w:val="40"/>
        </w:rPr>
      </w:pPr>
      <w:r w:rsidRPr="00A54078">
        <w:rPr>
          <w:rFonts w:ascii="Agency FB" w:hAnsi="Agency FB" w:cstheme="majorBidi"/>
          <w:b/>
          <w:bCs/>
          <w:sz w:val="40"/>
          <w:szCs w:val="40"/>
        </w:rPr>
        <w:t>“How</w:t>
      </w:r>
      <w:r w:rsidR="00355493" w:rsidRPr="00A54078">
        <w:rPr>
          <w:rFonts w:ascii="Agency FB" w:hAnsi="Agency FB" w:cstheme="majorBidi"/>
          <w:b/>
          <w:bCs/>
          <w:sz w:val="40"/>
          <w:szCs w:val="40"/>
        </w:rPr>
        <w:t xml:space="preserve"> to </w:t>
      </w:r>
      <w:r w:rsidR="002C68D0" w:rsidRPr="00A54078">
        <w:rPr>
          <w:rFonts w:ascii="Agency FB" w:hAnsi="Agency FB" w:cstheme="majorBidi"/>
          <w:b/>
          <w:bCs/>
          <w:sz w:val="40"/>
          <w:szCs w:val="40"/>
        </w:rPr>
        <w:t>perform study power analysis and sample size calculation</w:t>
      </w:r>
      <w:r w:rsidR="00355493" w:rsidRPr="00A54078">
        <w:rPr>
          <w:rFonts w:ascii="Agency FB" w:hAnsi="Agency FB" w:cstheme="majorBidi"/>
          <w:b/>
          <w:bCs/>
          <w:sz w:val="40"/>
          <w:szCs w:val="40"/>
        </w:rPr>
        <w:t>”</w:t>
      </w:r>
    </w:p>
    <w:p w:rsidR="00B22ADE" w:rsidRPr="00A54078" w:rsidRDefault="00B22ADE" w:rsidP="00B22ADE">
      <w:pPr>
        <w:spacing w:line="240" w:lineRule="auto"/>
        <w:jc w:val="center"/>
        <w:rPr>
          <w:rFonts w:ascii="Agency FB" w:hAnsi="Agency FB" w:cstheme="majorBidi"/>
          <w:b/>
          <w:bCs/>
          <w:sz w:val="32"/>
          <w:szCs w:val="32"/>
        </w:rPr>
      </w:pPr>
    </w:p>
    <w:p w:rsidR="00B22ADE" w:rsidRPr="00A54078" w:rsidRDefault="00C13048" w:rsidP="00C13048">
      <w:pPr>
        <w:spacing w:line="240" w:lineRule="auto"/>
        <w:jc w:val="center"/>
        <w:rPr>
          <w:rFonts w:ascii="Agency FB" w:hAnsi="Agency FB" w:cstheme="majorBidi"/>
          <w:b/>
          <w:bCs/>
          <w:i/>
          <w:iCs/>
          <w:color w:val="FF0000"/>
          <w:sz w:val="32"/>
          <w:szCs w:val="32"/>
        </w:rPr>
      </w:pPr>
      <w:r w:rsidRPr="00A54078">
        <w:rPr>
          <w:rFonts w:ascii="Agency FB" w:hAnsi="Agency FB" w:cstheme="majorBidi"/>
          <w:b/>
          <w:bCs/>
          <w:i/>
          <w:iCs/>
          <w:color w:val="FF0000"/>
          <w:sz w:val="32"/>
          <w:szCs w:val="32"/>
        </w:rPr>
        <w:t>Accredited by the American Association of Continuous Medical Education by 6.5 hours</w:t>
      </w:r>
    </w:p>
    <w:p w:rsidR="00C13048" w:rsidRPr="00A54078" w:rsidRDefault="00C13048" w:rsidP="00C13048">
      <w:pPr>
        <w:spacing w:line="240" w:lineRule="auto"/>
        <w:jc w:val="center"/>
        <w:rPr>
          <w:rFonts w:ascii="Agency FB" w:hAnsi="Agency FB" w:cstheme="majorBidi"/>
          <w:b/>
          <w:bCs/>
          <w:i/>
          <w:iCs/>
          <w:sz w:val="32"/>
          <w:szCs w:val="32"/>
        </w:rPr>
      </w:pPr>
    </w:p>
    <w:p w:rsidR="00B22ADE" w:rsidRPr="00A54078" w:rsidRDefault="00B22ADE" w:rsidP="00B22ADE">
      <w:pPr>
        <w:shd w:val="clear" w:color="auto" w:fill="D9D9D9" w:themeFill="background1" w:themeFillShade="D9"/>
        <w:spacing w:line="240" w:lineRule="auto"/>
        <w:jc w:val="center"/>
        <w:rPr>
          <w:rFonts w:ascii="Agency FB" w:hAnsi="Agency FB" w:cstheme="majorBidi"/>
          <w:b/>
          <w:bCs/>
          <w:sz w:val="40"/>
          <w:szCs w:val="40"/>
        </w:rPr>
      </w:pPr>
      <w:r w:rsidRPr="00A54078">
        <w:rPr>
          <w:rFonts w:ascii="Agency FB" w:hAnsi="Agency FB" w:cstheme="majorBidi"/>
          <w:b/>
          <w:bCs/>
          <w:sz w:val="40"/>
          <w:szCs w:val="40"/>
        </w:rPr>
        <w:t xml:space="preserve">Organized by </w:t>
      </w:r>
    </w:p>
    <w:p w:rsidR="00B22ADE" w:rsidRPr="00A54078" w:rsidRDefault="00B22ADE" w:rsidP="00B22ADE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22ADE" w:rsidRPr="00A54078" w:rsidRDefault="00B22ADE" w:rsidP="00B22ADE">
      <w:pPr>
        <w:spacing w:line="240" w:lineRule="auto"/>
        <w:jc w:val="center"/>
        <w:rPr>
          <w:rFonts w:ascii="Agency FB" w:hAnsi="Agency FB" w:cstheme="majorBidi"/>
          <w:b/>
          <w:bCs/>
          <w:sz w:val="32"/>
          <w:szCs w:val="32"/>
        </w:rPr>
      </w:pPr>
      <w:r w:rsidRPr="00A54078">
        <w:rPr>
          <w:rFonts w:asciiTheme="majorBidi" w:hAnsiTheme="majorBidi" w:cstheme="majorBidi"/>
          <w:b/>
          <w:bCs/>
          <w:sz w:val="32"/>
          <w:szCs w:val="32"/>
        </w:rPr>
        <w:t>Public Health &amp; Community Medicine Department</w:t>
      </w:r>
    </w:p>
    <w:p w:rsidR="00B22ADE" w:rsidRPr="00A54078" w:rsidRDefault="00B22ADE" w:rsidP="00B22ADE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54078">
        <w:rPr>
          <w:rFonts w:asciiTheme="majorBidi" w:hAnsiTheme="majorBidi" w:cstheme="majorBidi"/>
          <w:b/>
          <w:bCs/>
          <w:sz w:val="32"/>
          <w:szCs w:val="32"/>
        </w:rPr>
        <w:t>Faculty of Medicine – University of Tanta</w:t>
      </w:r>
    </w:p>
    <w:p w:rsidR="00B22ADE" w:rsidRPr="00A54078" w:rsidRDefault="00B22ADE" w:rsidP="00B22ADE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B22ADE" w:rsidRPr="00A54078" w:rsidRDefault="00B22ADE" w:rsidP="00B22ADE">
      <w:pPr>
        <w:spacing w:line="240" w:lineRule="auto"/>
        <w:rPr>
          <w:rFonts w:ascii="Agency FB" w:hAnsi="Agency FB" w:cstheme="majorBidi"/>
          <w:b/>
          <w:bCs/>
          <w:sz w:val="32"/>
          <w:szCs w:val="32"/>
        </w:rPr>
      </w:pPr>
    </w:p>
    <w:p w:rsidR="00B22ADE" w:rsidRPr="00A54078" w:rsidRDefault="00B22ADE" w:rsidP="00B22ADE">
      <w:pPr>
        <w:shd w:val="clear" w:color="auto" w:fill="D9D9D9" w:themeFill="background1" w:themeFillShade="D9"/>
        <w:spacing w:line="240" w:lineRule="auto"/>
        <w:jc w:val="center"/>
        <w:rPr>
          <w:rFonts w:ascii="Agency FB" w:hAnsi="Agency FB" w:cstheme="majorBidi"/>
          <w:b/>
          <w:bCs/>
          <w:sz w:val="40"/>
          <w:szCs w:val="40"/>
        </w:rPr>
      </w:pPr>
      <w:r w:rsidRPr="00A54078">
        <w:rPr>
          <w:rFonts w:ascii="Agency FB" w:hAnsi="Agency FB" w:cstheme="majorBidi"/>
          <w:b/>
          <w:bCs/>
          <w:sz w:val="40"/>
          <w:szCs w:val="40"/>
        </w:rPr>
        <w:t>Workshop coordinator</w:t>
      </w:r>
    </w:p>
    <w:p w:rsidR="00B22ADE" w:rsidRPr="00A54078" w:rsidRDefault="00B22ADE" w:rsidP="00B22ADE">
      <w:pPr>
        <w:spacing w:line="240" w:lineRule="auto"/>
        <w:jc w:val="center"/>
        <w:rPr>
          <w:rFonts w:ascii="Andalus" w:hAnsi="Andalus" w:cs="Andalus"/>
          <w:b/>
          <w:bCs/>
          <w:sz w:val="40"/>
          <w:szCs w:val="40"/>
        </w:rPr>
      </w:pPr>
      <w:r w:rsidRPr="00A54078">
        <w:rPr>
          <w:rFonts w:ascii="Andalus" w:hAnsi="Andalus" w:cs="Andalus"/>
          <w:b/>
          <w:bCs/>
          <w:sz w:val="40"/>
          <w:szCs w:val="40"/>
        </w:rPr>
        <w:t>Dr. Ibrahim Ali Kabbash</w:t>
      </w:r>
    </w:p>
    <w:p w:rsidR="00B22ADE" w:rsidRPr="00A54078" w:rsidRDefault="00B22ADE" w:rsidP="00B22ADE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A54078">
        <w:rPr>
          <w:rFonts w:asciiTheme="majorBidi" w:hAnsiTheme="majorBidi" w:cstheme="majorBidi"/>
          <w:b/>
          <w:bCs/>
          <w:i/>
          <w:iCs/>
          <w:sz w:val="32"/>
          <w:szCs w:val="32"/>
        </w:rPr>
        <w:t>Professor of Public Health &amp; Community Medicine</w:t>
      </w:r>
    </w:p>
    <w:p w:rsidR="00B22ADE" w:rsidRPr="00A54078" w:rsidRDefault="00B22ADE" w:rsidP="00B22ADE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A54078">
        <w:rPr>
          <w:rFonts w:asciiTheme="majorBidi" w:hAnsiTheme="majorBidi" w:cstheme="majorBidi"/>
          <w:b/>
          <w:bCs/>
          <w:i/>
          <w:iCs/>
          <w:sz w:val="32"/>
          <w:szCs w:val="32"/>
        </w:rPr>
        <w:t>Faculty of Medicine – University of Tanta</w:t>
      </w:r>
    </w:p>
    <w:p w:rsidR="00B22ADE" w:rsidRPr="00A54078" w:rsidRDefault="00B22ADE" w:rsidP="00D30ECC">
      <w:pPr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22ADE" w:rsidRPr="00A54078" w:rsidRDefault="00B22ADE" w:rsidP="00D30ECC">
      <w:pPr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22ADE" w:rsidRPr="00A54078" w:rsidRDefault="00B22ADE" w:rsidP="00D30ECC">
      <w:pPr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2E2363" w:rsidRPr="00A54078" w:rsidRDefault="002E2363" w:rsidP="002E2363">
      <w:pPr>
        <w:pStyle w:val="ListParagraph"/>
        <w:numPr>
          <w:ilvl w:val="0"/>
          <w:numId w:val="6"/>
        </w:numPr>
        <w:shd w:val="clear" w:color="auto" w:fill="D9D9D9" w:themeFill="background1" w:themeFillShade="D9"/>
        <w:spacing w:line="480" w:lineRule="auto"/>
        <w:jc w:val="both"/>
        <w:rPr>
          <w:rFonts w:asciiTheme="majorBidi" w:hAnsiTheme="majorBidi" w:cstheme="majorBidi"/>
          <w:sz w:val="32"/>
          <w:szCs w:val="32"/>
        </w:rPr>
      </w:pPr>
      <w:r w:rsidRPr="00A54078">
        <w:rPr>
          <w:rFonts w:asciiTheme="majorBidi" w:hAnsiTheme="majorBidi" w:cstheme="majorBidi"/>
          <w:b/>
          <w:bCs/>
          <w:sz w:val="32"/>
          <w:szCs w:val="32"/>
          <w:u w:val="single"/>
        </w:rPr>
        <w:lastRenderedPageBreak/>
        <w:t>Background</w:t>
      </w:r>
      <w:r w:rsidRPr="00A54078">
        <w:rPr>
          <w:rFonts w:asciiTheme="majorBidi" w:hAnsiTheme="majorBidi" w:cstheme="majorBidi"/>
          <w:sz w:val="32"/>
          <w:szCs w:val="32"/>
        </w:rPr>
        <w:t>:</w:t>
      </w:r>
    </w:p>
    <w:p w:rsidR="002C68D0" w:rsidRPr="00A54078" w:rsidRDefault="00355493" w:rsidP="002E236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54078">
        <w:rPr>
          <w:rFonts w:asciiTheme="majorBidi" w:hAnsiTheme="majorBidi" w:cstheme="majorBidi"/>
          <w:sz w:val="28"/>
          <w:szCs w:val="28"/>
        </w:rPr>
        <w:t xml:space="preserve">This is a </w:t>
      </w:r>
      <w:r w:rsidR="002C68D0" w:rsidRPr="00A54078">
        <w:rPr>
          <w:rFonts w:asciiTheme="majorBidi" w:hAnsiTheme="majorBidi" w:cstheme="majorBidi"/>
          <w:sz w:val="28"/>
          <w:szCs w:val="28"/>
        </w:rPr>
        <w:t>one</w:t>
      </w:r>
      <w:r w:rsidRPr="00A54078">
        <w:rPr>
          <w:rFonts w:asciiTheme="majorBidi" w:hAnsiTheme="majorBidi" w:cstheme="majorBidi"/>
          <w:sz w:val="28"/>
          <w:szCs w:val="28"/>
        </w:rPr>
        <w:t xml:space="preserve"> </w:t>
      </w:r>
      <w:r w:rsidR="00954B71" w:rsidRPr="00A54078">
        <w:rPr>
          <w:rFonts w:asciiTheme="majorBidi" w:hAnsiTheme="majorBidi" w:cstheme="majorBidi"/>
          <w:sz w:val="28"/>
          <w:szCs w:val="28"/>
        </w:rPr>
        <w:t>day’s</w:t>
      </w:r>
      <w:r w:rsidRPr="00A54078">
        <w:rPr>
          <w:rFonts w:asciiTheme="majorBidi" w:hAnsiTheme="majorBidi" w:cstheme="majorBidi"/>
          <w:sz w:val="28"/>
          <w:szCs w:val="28"/>
        </w:rPr>
        <w:t xml:space="preserve"> workshop designed for under and </w:t>
      </w:r>
      <w:r w:rsidR="002C3FD2" w:rsidRPr="00A54078">
        <w:rPr>
          <w:rFonts w:asciiTheme="majorBidi" w:hAnsiTheme="majorBidi" w:cstheme="majorBidi"/>
          <w:sz w:val="28"/>
          <w:szCs w:val="28"/>
        </w:rPr>
        <w:t>postgraduate</w:t>
      </w:r>
      <w:r w:rsidRPr="00A54078">
        <w:rPr>
          <w:rFonts w:asciiTheme="majorBidi" w:hAnsiTheme="majorBidi" w:cstheme="majorBidi"/>
          <w:sz w:val="28"/>
          <w:szCs w:val="28"/>
        </w:rPr>
        <w:t xml:space="preserve"> </w:t>
      </w:r>
      <w:r w:rsidR="002C3FD2" w:rsidRPr="00A54078">
        <w:rPr>
          <w:rFonts w:asciiTheme="majorBidi" w:hAnsiTheme="majorBidi" w:cstheme="majorBidi"/>
          <w:sz w:val="28"/>
          <w:szCs w:val="28"/>
        </w:rPr>
        <w:t>students</w:t>
      </w:r>
      <w:r w:rsidRPr="00A54078">
        <w:rPr>
          <w:rFonts w:asciiTheme="majorBidi" w:hAnsiTheme="majorBidi" w:cstheme="majorBidi"/>
          <w:sz w:val="28"/>
          <w:szCs w:val="28"/>
        </w:rPr>
        <w:t xml:space="preserve"> to familiarize them with the method of </w:t>
      </w:r>
      <w:r w:rsidR="002C68D0" w:rsidRPr="00A54078">
        <w:rPr>
          <w:rFonts w:asciiTheme="majorBidi" w:hAnsiTheme="majorBidi" w:cstheme="majorBidi"/>
          <w:sz w:val="28"/>
          <w:szCs w:val="28"/>
        </w:rPr>
        <w:t xml:space="preserve">calculation of their study power </w:t>
      </w:r>
      <w:r w:rsidR="00954B71" w:rsidRPr="00A54078">
        <w:rPr>
          <w:rFonts w:asciiTheme="majorBidi" w:hAnsiTheme="majorBidi" w:cstheme="majorBidi"/>
          <w:sz w:val="28"/>
          <w:szCs w:val="28"/>
        </w:rPr>
        <w:t>analysis</w:t>
      </w:r>
      <w:r w:rsidR="002C68D0" w:rsidRPr="00A54078">
        <w:rPr>
          <w:rFonts w:asciiTheme="majorBidi" w:hAnsiTheme="majorBidi" w:cstheme="majorBidi"/>
          <w:sz w:val="28"/>
          <w:szCs w:val="28"/>
        </w:rPr>
        <w:t xml:space="preserve"> and sample size. Also, the study will focus on different methods of prob</w:t>
      </w:r>
      <w:r w:rsidR="00954B71" w:rsidRPr="00A54078">
        <w:rPr>
          <w:rFonts w:asciiTheme="majorBidi" w:hAnsiTheme="majorBidi" w:cstheme="majorBidi"/>
          <w:sz w:val="28"/>
          <w:szCs w:val="28"/>
        </w:rPr>
        <w:t>ab</w:t>
      </w:r>
      <w:r w:rsidR="002C68D0" w:rsidRPr="00A54078">
        <w:rPr>
          <w:rFonts w:asciiTheme="majorBidi" w:hAnsiTheme="majorBidi" w:cstheme="majorBidi"/>
          <w:sz w:val="28"/>
          <w:szCs w:val="28"/>
        </w:rPr>
        <w:t xml:space="preserve">ility sampling in different types of studies. The training will include practical sessions on the topic which will be performed </w:t>
      </w:r>
      <w:r w:rsidR="00954B71" w:rsidRPr="00A54078">
        <w:rPr>
          <w:rFonts w:asciiTheme="majorBidi" w:hAnsiTheme="majorBidi" w:cstheme="majorBidi"/>
          <w:sz w:val="28"/>
          <w:szCs w:val="28"/>
        </w:rPr>
        <w:t>using Epi</w:t>
      </w:r>
      <w:r w:rsidR="002C68D0" w:rsidRPr="00A54078">
        <w:rPr>
          <w:rFonts w:asciiTheme="majorBidi" w:hAnsiTheme="majorBidi" w:cstheme="majorBidi"/>
          <w:sz w:val="28"/>
          <w:szCs w:val="28"/>
        </w:rPr>
        <w:t>-Info software program created by WHO and CDC.</w:t>
      </w:r>
    </w:p>
    <w:p w:rsidR="00357E8D" w:rsidRPr="00A54078" w:rsidRDefault="00357E8D" w:rsidP="00076F5D">
      <w:pPr>
        <w:pStyle w:val="ListParagraph"/>
        <w:spacing w:line="276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</w:p>
    <w:p w:rsidR="007370B2" w:rsidRPr="00A54078" w:rsidRDefault="002C3FD2" w:rsidP="00076F5D">
      <w:pPr>
        <w:pStyle w:val="ListParagraph"/>
        <w:numPr>
          <w:ilvl w:val="0"/>
          <w:numId w:val="6"/>
        </w:numPr>
        <w:shd w:val="clear" w:color="auto" w:fill="D9D9D9" w:themeFill="background1" w:themeFillShade="D9"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A54078">
        <w:rPr>
          <w:rFonts w:asciiTheme="majorBidi" w:hAnsiTheme="majorBidi" w:cstheme="majorBidi"/>
          <w:b/>
          <w:bCs/>
          <w:sz w:val="32"/>
          <w:szCs w:val="32"/>
          <w:u w:val="single"/>
        </w:rPr>
        <w:t>Objectives</w:t>
      </w:r>
      <w:r w:rsidR="007370B2" w:rsidRPr="00A54078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of the training:</w:t>
      </w:r>
    </w:p>
    <w:p w:rsidR="002C68D0" w:rsidRPr="00A54078" w:rsidRDefault="002C68D0" w:rsidP="00357E8D">
      <w:pPr>
        <w:spacing w:after="0"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A54078">
        <w:rPr>
          <w:rFonts w:asciiTheme="majorBidi" w:hAnsiTheme="majorBidi" w:cstheme="majorBidi"/>
          <w:sz w:val="28"/>
          <w:szCs w:val="28"/>
        </w:rPr>
        <w:t>By end of training the trainees will be able to:</w:t>
      </w:r>
    </w:p>
    <w:p w:rsidR="007370B2" w:rsidRPr="00A54078" w:rsidRDefault="007370B2" w:rsidP="00357E8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54078">
        <w:rPr>
          <w:rFonts w:asciiTheme="majorBidi" w:hAnsiTheme="majorBidi" w:cstheme="majorBidi"/>
          <w:sz w:val="28"/>
          <w:szCs w:val="28"/>
        </w:rPr>
        <w:t xml:space="preserve">Recognize the </w:t>
      </w:r>
      <w:r w:rsidR="00235AA0" w:rsidRPr="00A54078">
        <w:rPr>
          <w:rFonts w:asciiTheme="majorBidi" w:hAnsiTheme="majorBidi" w:cstheme="majorBidi"/>
          <w:sz w:val="28"/>
          <w:szCs w:val="28"/>
        </w:rPr>
        <w:t xml:space="preserve">concept of </w:t>
      </w:r>
      <w:r w:rsidR="00CA34F1" w:rsidRPr="00A54078">
        <w:rPr>
          <w:rFonts w:asciiTheme="majorBidi" w:hAnsiTheme="majorBidi" w:cstheme="majorBidi"/>
          <w:sz w:val="28"/>
          <w:szCs w:val="28"/>
        </w:rPr>
        <w:t>power</w:t>
      </w:r>
      <w:r w:rsidR="00235AA0" w:rsidRPr="00A54078">
        <w:rPr>
          <w:rFonts w:asciiTheme="majorBidi" w:hAnsiTheme="majorBidi" w:cstheme="majorBidi"/>
          <w:sz w:val="28"/>
          <w:szCs w:val="28"/>
        </w:rPr>
        <w:t xml:space="preserve"> analysis and importance of sample size calculation</w:t>
      </w:r>
      <w:r w:rsidRPr="00A54078">
        <w:rPr>
          <w:rFonts w:asciiTheme="majorBidi" w:hAnsiTheme="majorBidi" w:cstheme="majorBidi"/>
          <w:sz w:val="28"/>
          <w:szCs w:val="28"/>
        </w:rPr>
        <w:t>.</w:t>
      </w:r>
    </w:p>
    <w:p w:rsidR="00235AA0" w:rsidRPr="00A54078" w:rsidRDefault="00235AA0" w:rsidP="00357E8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54078">
        <w:rPr>
          <w:rFonts w:asciiTheme="majorBidi" w:hAnsiTheme="majorBidi" w:cstheme="majorBidi"/>
          <w:sz w:val="28"/>
          <w:szCs w:val="28"/>
        </w:rPr>
        <w:t xml:space="preserve">Identify the needed criterial and data foe power analysis and </w:t>
      </w:r>
      <w:r w:rsidR="00954B71" w:rsidRPr="00A54078">
        <w:rPr>
          <w:rFonts w:asciiTheme="majorBidi" w:hAnsiTheme="majorBidi" w:cstheme="majorBidi"/>
          <w:sz w:val="28"/>
          <w:szCs w:val="28"/>
        </w:rPr>
        <w:t>sample</w:t>
      </w:r>
      <w:r w:rsidRPr="00A54078">
        <w:rPr>
          <w:rFonts w:asciiTheme="majorBidi" w:hAnsiTheme="majorBidi" w:cstheme="majorBidi"/>
          <w:sz w:val="28"/>
          <w:szCs w:val="28"/>
        </w:rPr>
        <w:t xml:space="preserve"> size calculation for different types of studies</w:t>
      </w:r>
    </w:p>
    <w:p w:rsidR="00235AA0" w:rsidRPr="00A54078" w:rsidRDefault="007370B2" w:rsidP="00357E8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54078">
        <w:rPr>
          <w:rFonts w:asciiTheme="majorBidi" w:hAnsiTheme="majorBidi" w:cstheme="majorBidi"/>
          <w:sz w:val="28"/>
          <w:szCs w:val="28"/>
        </w:rPr>
        <w:t xml:space="preserve">Acquire the sill to </w:t>
      </w:r>
      <w:r w:rsidR="00235AA0" w:rsidRPr="00A54078">
        <w:rPr>
          <w:rFonts w:asciiTheme="majorBidi" w:hAnsiTheme="majorBidi" w:cstheme="majorBidi"/>
          <w:sz w:val="28"/>
          <w:szCs w:val="28"/>
        </w:rPr>
        <w:t>perform power analysis and sample size calculation of his/her research</w:t>
      </w:r>
    </w:p>
    <w:p w:rsidR="00357E8D" w:rsidRPr="00A54078" w:rsidRDefault="00235AA0" w:rsidP="00357E8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54078">
        <w:rPr>
          <w:rFonts w:asciiTheme="majorBidi" w:hAnsiTheme="majorBidi" w:cstheme="majorBidi"/>
          <w:sz w:val="28"/>
          <w:szCs w:val="28"/>
        </w:rPr>
        <w:t>Use perfectly different methods of probability sampling and identify proper method for each study.</w:t>
      </w:r>
    </w:p>
    <w:p w:rsidR="00355493" w:rsidRPr="00A54078" w:rsidRDefault="00355493" w:rsidP="00076F5D">
      <w:pPr>
        <w:pStyle w:val="ListParagraph"/>
        <w:spacing w:line="12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57E8D" w:rsidRPr="00A54078" w:rsidRDefault="00357E8D" w:rsidP="00357E8D">
      <w:pPr>
        <w:pStyle w:val="ListParagraph"/>
        <w:numPr>
          <w:ilvl w:val="0"/>
          <w:numId w:val="5"/>
        </w:numPr>
        <w:shd w:val="clear" w:color="auto" w:fill="D9D9D9" w:themeFill="background1" w:themeFillShade="D9"/>
        <w:spacing w:after="0" w:line="48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A54078">
        <w:rPr>
          <w:rFonts w:asciiTheme="majorBidi" w:hAnsiTheme="majorBidi" w:cstheme="majorBidi"/>
          <w:b/>
          <w:bCs/>
          <w:sz w:val="32"/>
          <w:szCs w:val="32"/>
          <w:u w:val="single"/>
        </w:rPr>
        <w:t>Target trainees:</w:t>
      </w:r>
    </w:p>
    <w:p w:rsidR="00357E8D" w:rsidRPr="00A54078" w:rsidRDefault="00357E8D" w:rsidP="00357E8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54078">
        <w:rPr>
          <w:rFonts w:asciiTheme="majorBidi" w:hAnsiTheme="majorBidi" w:cstheme="majorBidi"/>
          <w:sz w:val="28"/>
          <w:szCs w:val="28"/>
        </w:rPr>
        <w:t>Postgraduate and undergraduate students interested in research implementation in the following faculties:</w:t>
      </w:r>
    </w:p>
    <w:p w:rsidR="00357E8D" w:rsidRPr="00A54078" w:rsidRDefault="00357E8D" w:rsidP="00357E8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A54078">
        <w:rPr>
          <w:rFonts w:asciiTheme="majorBidi" w:hAnsiTheme="majorBidi" w:cstheme="majorBidi"/>
          <w:b/>
          <w:bCs/>
          <w:i/>
          <w:iCs/>
          <w:sz w:val="28"/>
          <w:szCs w:val="28"/>
        </w:rPr>
        <w:t>Medicine</w:t>
      </w:r>
    </w:p>
    <w:p w:rsidR="00357E8D" w:rsidRPr="00A54078" w:rsidRDefault="00357E8D" w:rsidP="00357E8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A54078">
        <w:rPr>
          <w:rFonts w:asciiTheme="majorBidi" w:hAnsiTheme="majorBidi" w:cstheme="majorBidi"/>
          <w:b/>
          <w:bCs/>
          <w:i/>
          <w:iCs/>
          <w:sz w:val="28"/>
          <w:szCs w:val="28"/>
        </w:rPr>
        <w:t>Nursing</w:t>
      </w:r>
    </w:p>
    <w:p w:rsidR="00357E8D" w:rsidRPr="00A54078" w:rsidRDefault="00357E8D" w:rsidP="00357E8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A54078">
        <w:rPr>
          <w:rFonts w:asciiTheme="majorBidi" w:hAnsiTheme="majorBidi" w:cstheme="majorBidi"/>
          <w:b/>
          <w:bCs/>
          <w:i/>
          <w:iCs/>
          <w:sz w:val="28"/>
          <w:szCs w:val="28"/>
        </w:rPr>
        <w:t>Dentistry</w:t>
      </w:r>
    </w:p>
    <w:p w:rsidR="00357E8D" w:rsidRPr="00A54078" w:rsidRDefault="00357E8D" w:rsidP="00357E8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A54078">
        <w:rPr>
          <w:rFonts w:asciiTheme="majorBidi" w:hAnsiTheme="majorBidi" w:cstheme="majorBidi"/>
          <w:b/>
          <w:bCs/>
          <w:i/>
          <w:iCs/>
          <w:sz w:val="28"/>
          <w:szCs w:val="28"/>
        </w:rPr>
        <w:t>Pharmacy</w:t>
      </w:r>
    </w:p>
    <w:p w:rsidR="00E662A9" w:rsidRPr="00A54078" w:rsidRDefault="00E662A9" w:rsidP="00E662A9">
      <w:pPr>
        <w:pStyle w:val="ListParagraph"/>
        <w:numPr>
          <w:ilvl w:val="0"/>
          <w:numId w:val="5"/>
        </w:numPr>
        <w:shd w:val="clear" w:color="auto" w:fill="D9D9D9" w:themeFill="background1" w:themeFillShade="D9"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A54078">
        <w:rPr>
          <w:rFonts w:asciiTheme="majorBidi" w:hAnsiTheme="majorBidi" w:cstheme="majorBidi"/>
          <w:b/>
          <w:bCs/>
          <w:sz w:val="32"/>
          <w:szCs w:val="32"/>
          <w:u w:val="single"/>
        </w:rPr>
        <w:lastRenderedPageBreak/>
        <w:t xml:space="preserve">Workshop Duration: </w:t>
      </w:r>
    </w:p>
    <w:p w:rsidR="00E662A9" w:rsidRPr="00A54078" w:rsidRDefault="00E662A9" w:rsidP="00C82F13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A54078">
        <w:rPr>
          <w:rFonts w:asciiTheme="majorBidi" w:hAnsiTheme="majorBidi" w:cstheme="majorBidi"/>
          <w:sz w:val="28"/>
          <w:szCs w:val="28"/>
        </w:rPr>
        <w:t>One day; 6 hours training hours.</w:t>
      </w:r>
    </w:p>
    <w:p w:rsidR="00C17FF5" w:rsidRPr="00A54078" w:rsidRDefault="00C17FF5" w:rsidP="00C17FF5">
      <w:pPr>
        <w:pStyle w:val="ListParagraph"/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662A9" w:rsidRPr="00A54078" w:rsidRDefault="00E662A9" w:rsidP="00E662A9">
      <w:pPr>
        <w:pStyle w:val="ListParagraph"/>
        <w:numPr>
          <w:ilvl w:val="0"/>
          <w:numId w:val="5"/>
        </w:numPr>
        <w:shd w:val="clear" w:color="auto" w:fill="D9D9D9" w:themeFill="background1" w:themeFillShade="D9"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A54078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Venue of training: </w:t>
      </w:r>
    </w:p>
    <w:p w:rsidR="00E662A9" w:rsidRPr="00A54078" w:rsidRDefault="00E662A9" w:rsidP="00E662A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54078">
        <w:rPr>
          <w:rFonts w:asciiTheme="majorBidi" w:hAnsiTheme="majorBidi" w:cstheme="majorBidi"/>
          <w:sz w:val="28"/>
          <w:szCs w:val="28"/>
        </w:rPr>
        <w:t>Faculty of Medicine Public Health Department, fourth floor</w:t>
      </w:r>
    </w:p>
    <w:p w:rsidR="00E662A9" w:rsidRPr="00A54078" w:rsidRDefault="00E662A9" w:rsidP="00E662A9">
      <w:pPr>
        <w:pStyle w:val="ListParagraph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17FF5" w:rsidRPr="00A54078" w:rsidRDefault="00C17FF5" w:rsidP="00E662A9">
      <w:pPr>
        <w:pStyle w:val="ListParagraph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55493" w:rsidRPr="00A54078" w:rsidRDefault="00355493" w:rsidP="00E662A9">
      <w:pPr>
        <w:pStyle w:val="ListParagraph"/>
        <w:numPr>
          <w:ilvl w:val="0"/>
          <w:numId w:val="5"/>
        </w:numPr>
        <w:shd w:val="clear" w:color="auto" w:fill="D9D9D9" w:themeFill="background1" w:themeFillShade="D9"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A54078">
        <w:rPr>
          <w:rFonts w:asciiTheme="majorBidi" w:hAnsiTheme="majorBidi" w:cstheme="majorBidi"/>
          <w:b/>
          <w:bCs/>
          <w:sz w:val="32"/>
          <w:szCs w:val="32"/>
          <w:u w:val="single"/>
        </w:rPr>
        <w:t>Registration:</w:t>
      </w:r>
    </w:p>
    <w:p w:rsidR="00150641" w:rsidRPr="00A54078" w:rsidRDefault="00355493" w:rsidP="00C17FF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54078">
        <w:rPr>
          <w:rFonts w:asciiTheme="majorBidi" w:hAnsiTheme="majorBidi" w:cstheme="majorBidi"/>
          <w:sz w:val="28"/>
          <w:szCs w:val="28"/>
        </w:rPr>
        <w:t xml:space="preserve">Through contact with Ms Sara at </w:t>
      </w:r>
      <w:r w:rsidR="002C3FD2" w:rsidRPr="00A54078">
        <w:rPr>
          <w:rFonts w:asciiTheme="majorBidi" w:hAnsiTheme="majorBidi" w:cstheme="majorBidi"/>
          <w:sz w:val="28"/>
          <w:szCs w:val="28"/>
        </w:rPr>
        <w:t>Public</w:t>
      </w:r>
      <w:r w:rsidRPr="00A54078">
        <w:rPr>
          <w:rFonts w:asciiTheme="majorBidi" w:hAnsiTheme="majorBidi" w:cstheme="majorBidi"/>
          <w:sz w:val="28"/>
          <w:szCs w:val="28"/>
        </w:rPr>
        <w:t xml:space="preserve"> </w:t>
      </w:r>
      <w:r w:rsidR="002C3FD2" w:rsidRPr="00A54078">
        <w:rPr>
          <w:rFonts w:asciiTheme="majorBidi" w:hAnsiTheme="majorBidi" w:cstheme="majorBidi"/>
          <w:sz w:val="28"/>
          <w:szCs w:val="28"/>
        </w:rPr>
        <w:t>H</w:t>
      </w:r>
      <w:r w:rsidRPr="00A54078">
        <w:rPr>
          <w:rFonts w:asciiTheme="majorBidi" w:hAnsiTheme="majorBidi" w:cstheme="majorBidi"/>
          <w:sz w:val="28"/>
          <w:szCs w:val="28"/>
        </w:rPr>
        <w:t xml:space="preserve">ealth </w:t>
      </w:r>
      <w:r w:rsidR="002C3FD2" w:rsidRPr="00A54078">
        <w:rPr>
          <w:rFonts w:asciiTheme="majorBidi" w:hAnsiTheme="majorBidi" w:cstheme="majorBidi"/>
          <w:sz w:val="28"/>
          <w:szCs w:val="28"/>
        </w:rPr>
        <w:t>Department;</w:t>
      </w:r>
      <w:r w:rsidRPr="00A54078">
        <w:rPr>
          <w:rFonts w:asciiTheme="majorBidi" w:hAnsiTheme="majorBidi" w:cstheme="majorBidi"/>
          <w:sz w:val="28"/>
          <w:szCs w:val="28"/>
        </w:rPr>
        <w:t xml:space="preserve"> mobile number 01008542462</w:t>
      </w:r>
      <w:r w:rsidR="00150641" w:rsidRPr="00A54078">
        <w:rPr>
          <w:rFonts w:asciiTheme="majorBidi" w:hAnsiTheme="majorBidi" w:cstheme="majorBidi"/>
          <w:sz w:val="28"/>
          <w:szCs w:val="28"/>
        </w:rPr>
        <w:t xml:space="preserve">.  </w:t>
      </w:r>
    </w:p>
    <w:p w:rsidR="00150641" w:rsidRPr="00A54078" w:rsidRDefault="002C3FD2" w:rsidP="00C17FF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54078">
        <w:rPr>
          <w:rFonts w:asciiTheme="majorBidi" w:hAnsiTheme="majorBidi" w:cstheme="majorBidi"/>
          <w:sz w:val="28"/>
          <w:szCs w:val="28"/>
        </w:rPr>
        <w:t>Number</w:t>
      </w:r>
      <w:r w:rsidR="00150641" w:rsidRPr="00A54078">
        <w:rPr>
          <w:rFonts w:asciiTheme="majorBidi" w:hAnsiTheme="majorBidi" w:cstheme="majorBidi"/>
          <w:sz w:val="28"/>
          <w:szCs w:val="28"/>
        </w:rPr>
        <w:t xml:space="preserve"> of trainers is limited to 25 and priority will be given according to date of registration.</w:t>
      </w:r>
    </w:p>
    <w:p w:rsidR="00150641" w:rsidRPr="00A54078" w:rsidRDefault="00150641" w:rsidP="00C17FF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54078">
        <w:rPr>
          <w:rFonts w:asciiTheme="majorBidi" w:hAnsiTheme="majorBidi" w:cstheme="majorBidi"/>
          <w:sz w:val="28"/>
          <w:szCs w:val="28"/>
        </w:rPr>
        <w:t xml:space="preserve"> Prior registration is essential prior to 30 </w:t>
      </w:r>
      <w:r w:rsidR="002C3FD2" w:rsidRPr="00A54078">
        <w:rPr>
          <w:rFonts w:asciiTheme="majorBidi" w:hAnsiTheme="majorBidi" w:cstheme="majorBidi"/>
          <w:sz w:val="28"/>
          <w:szCs w:val="28"/>
        </w:rPr>
        <w:t>December, 2019</w:t>
      </w:r>
      <w:r w:rsidRPr="00A54078">
        <w:rPr>
          <w:rFonts w:asciiTheme="majorBidi" w:hAnsiTheme="majorBidi" w:cstheme="majorBidi"/>
          <w:sz w:val="28"/>
          <w:szCs w:val="28"/>
        </w:rPr>
        <w:t xml:space="preserve">.  A payment of 100 pound should be </w:t>
      </w:r>
      <w:r w:rsidR="002C3FD2" w:rsidRPr="00A54078">
        <w:rPr>
          <w:rFonts w:asciiTheme="majorBidi" w:hAnsiTheme="majorBidi" w:cstheme="majorBidi"/>
          <w:sz w:val="28"/>
          <w:szCs w:val="28"/>
        </w:rPr>
        <w:t>paid</w:t>
      </w:r>
      <w:r w:rsidRPr="00A54078">
        <w:rPr>
          <w:rFonts w:asciiTheme="majorBidi" w:hAnsiTheme="majorBidi" w:cstheme="majorBidi"/>
          <w:sz w:val="28"/>
          <w:szCs w:val="28"/>
        </w:rPr>
        <w:t xml:space="preserve"> on registration. </w:t>
      </w:r>
    </w:p>
    <w:p w:rsidR="00355493" w:rsidRPr="00A54078" w:rsidRDefault="00150641" w:rsidP="00C17FF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54078">
        <w:rPr>
          <w:rFonts w:asciiTheme="majorBidi" w:hAnsiTheme="majorBidi" w:cstheme="majorBidi"/>
          <w:sz w:val="28"/>
          <w:szCs w:val="28"/>
        </w:rPr>
        <w:t>Complete registration fees should be paid   before 30</w:t>
      </w:r>
      <w:r w:rsidRPr="00A54078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A54078">
        <w:rPr>
          <w:rFonts w:asciiTheme="majorBidi" w:hAnsiTheme="majorBidi" w:cstheme="majorBidi"/>
          <w:sz w:val="28"/>
          <w:szCs w:val="28"/>
        </w:rPr>
        <w:t xml:space="preserve"> January 2020.</w:t>
      </w:r>
    </w:p>
    <w:p w:rsidR="00150641" w:rsidRPr="00A54078" w:rsidRDefault="00150641" w:rsidP="00C17FF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54078">
        <w:rPr>
          <w:rFonts w:asciiTheme="majorBidi" w:hAnsiTheme="majorBidi" w:cstheme="majorBidi"/>
          <w:sz w:val="28"/>
          <w:szCs w:val="28"/>
        </w:rPr>
        <w:t xml:space="preserve">Cancellation of registration is possible before </w:t>
      </w:r>
      <w:r w:rsidR="002C3FD2" w:rsidRPr="00A54078">
        <w:rPr>
          <w:rFonts w:asciiTheme="majorBidi" w:hAnsiTheme="majorBidi" w:cstheme="majorBidi"/>
          <w:sz w:val="28"/>
          <w:szCs w:val="28"/>
        </w:rPr>
        <w:t>January</w:t>
      </w:r>
      <w:r w:rsidRPr="00A54078">
        <w:rPr>
          <w:rFonts w:asciiTheme="majorBidi" w:hAnsiTheme="majorBidi" w:cstheme="majorBidi"/>
          <w:sz w:val="28"/>
          <w:szCs w:val="28"/>
        </w:rPr>
        <w:t xml:space="preserve"> 1</w:t>
      </w:r>
      <w:r w:rsidRPr="00A54078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Pr="00A54078">
        <w:rPr>
          <w:rFonts w:asciiTheme="majorBidi" w:hAnsiTheme="majorBidi" w:cstheme="majorBidi"/>
          <w:sz w:val="28"/>
          <w:szCs w:val="28"/>
        </w:rPr>
        <w:t xml:space="preserve"> after that date the 100 pounds are not refundable.</w:t>
      </w:r>
    </w:p>
    <w:p w:rsidR="00C17FF5" w:rsidRPr="00A54078" w:rsidRDefault="00C17FF5" w:rsidP="00C17FF5">
      <w:pPr>
        <w:pStyle w:val="ListParagraph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13048" w:rsidRPr="00A54078" w:rsidRDefault="00C13048" w:rsidP="007A47D1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A54078">
        <w:rPr>
          <w:rFonts w:asciiTheme="majorBidi" w:hAnsiTheme="majorBidi" w:cstheme="majorBidi"/>
          <w:b/>
          <w:bCs/>
          <w:sz w:val="32"/>
          <w:szCs w:val="32"/>
          <w:shd w:val="clear" w:color="auto" w:fill="D9D9D9" w:themeFill="background1" w:themeFillShade="D9"/>
        </w:rPr>
        <w:t>Date of workshop: 23 February , 2020</w:t>
      </w:r>
    </w:p>
    <w:p w:rsidR="00773396" w:rsidRPr="00A54078" w:rsidRDefault="00773396" w:rsidP="00D30ECC">
      <w:p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73396" w:rsidRPr="00A54078" w:rsidRDefault="00773396" w:rsidP="00D30ECC">
      <w:p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73396" w:rsidRPr="00A54078" w:rsidRDefault="00773396" w:rsidP="00D30ECC">
      <w:p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13048" w:rsidRPr="00A54078" w:rsidRDefault="00C13048" w:rsidP="00C13048">
      <w:pPr>
        <w:shd w:val="clear" w:color="auto" w:fill="D9D9D9" w:themeFill="background1" w:themeFillShade="D9"/>
        <w:spacing w:line="240" w:lineRule="auto"/>
        <w:jc w:val="center"/>
        <w:rPr>
          <w:rFonts w:ascii="Agency FB" w:hAnsi="Agency FB" w:cstheme="majorBidi"/>
          <w:b/>
          <w:bCs/>
          <w:sz w:val="36"/>
          <w:szCs w:val="36"/>
        </w:rPr>
      </w:pPr>
      <w:r w:rsidRPr="00A54078">
        <w:rPr>
          <w:rFonts w:ascii="Agency FB" w:hAnsi="Agency FB" w:cstheme="majorBidi"/>
          <w:b/>
          <w:bCs/>
          <w:sz w:val="36"/>
          <w:szCs w:val="36"/>
        </w:rPr>
        <w:lastRenderedPageBreak/>
        <w:t>Training program contents</w:t>
      </w:r>
    </w:p>
    <w:p w:rsidR="00C13048" w:rsidRPr="00A54078" w:rsidRDefault="00C13048" w:rsidP="00C13048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54078">
        <w:rPr>
          <w:rFonts w:asciiTheme="majorBidi" w:hAnsiTheme="majorBidi" w:cstheme="majorBidi"/>
          <w:b/>
          <w:bCs/>
          <w:sz w:val="28"/>
          <w:szCs w:val="28"/>
        </w:rPr>
        <w:t>Date 23/2 /2020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705"/>
        <w:gridCol w:w="5580"/>
        <w:gridCol w:w="1980"/>
      </w:tblGrid>
      <w:tr w:rsidR="00A54078" w:rsidRPr="00A54078" w:rsidTr="00151FB9"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C13048" w:rsidRPr="00A54078" w:rsidRDefault="00C13048" w:rsidP="00151FB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5407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Timing</w:t>
            </w:r>
          </w:p>
        </w:tc>
        <w:tc>
          <w:tcPr>
            <w:tcW w:w="5580" w:type="dxa"/>
            <w:shd w:val="clear" w:color="auto" w:fill="D9D9D9" w:themeFill="background1" w:themeFillShade="D9"/>
            <w:vAlign w:val="center"/>
          </w:tcPr>
          <w:p w:rsidR="00C13048" w:rsidRPr="00A54078" w:rsidRDefault="00C13048" w:rsidP="00151FB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5407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Topic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C13048" w:rsidRPr="00A54078" w:rsidRDefault="00C13048" w:rsidP="00151FB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5407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Facilitator</w:t>
            </w:r>
          </w:p>
        </w:tc>
      </w:tr>
      <w:tr w:rsidR="00A54078" w:rsidRPr="00A54078" w:rsidTr="00151FB9">
        <w:tc>
          <w:tcPr>
            <w:tcW w:w="1705" w:type="dxa"/>
          </w:tcPr>
          <w:p w:rsidR="00C13048" w:rsidRPr="00A54078" w:rsidRDefault="00C13048" w:rsidP="00151FB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5407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8:30-9:30</w:t>
            </w:r>
          </w:p>
        </w:tc>
        <w:tc>
          <w:tcPr>
            <w:tcW w:w="5580" w:type="dxa"/>
          </w:tcPr>
          <w:p w:rsidR="00C13048" w:rsidRPr="00A54078" w:rsidRDefault="00C13048" w:rsidP="00C1304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52" w:hanging="180"/>
              <w:rPr>
                <w:rFonts w:asciiTheme="majorBidi" w:hAnsiTheme="majorBidi" w:cstheme="majorBidi"/>
                <w:sz w:val="28"/>
                <w:szCs w:val="28"/>
              </w:rPr>
            </w:pPr>
            <w:r w:rsidRPr="00A54078">
              <w:rPr>
                <w:rFonts w:ascii="Segoe UI Semibold" w:hAnsi="Segoe UI Semibold" w:cs="Andalus"/>
                <w:b/>
                <w:bCs/>
                <w:sz w:val="26"/>
                <w:szCs w:val="26"/>
              </w:rPr>
              <w:t>Registration and opening</w:t>
            </w:r>
          </w:p>
        </w:tc>
        <w:tc>
          <w:tcPr>
            <w:tcW w:w="1980" w:type="dxa"/>
          </w:tcPr>
          <w:p w:rsidR="00C13048" w:rsidRPr="00A54078" w:rsidRDefault="00C13048" w:rsidP="00151FB9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54078" w:rsidRPr="00A54078" w:rsidTr="00151FB9">
        <w:tc>
          <w:tcPr>
            <w:tcW w:w="1705" w:type="dxa"/>
          </w:tcPr>
          <w:p w:rsidR="00C13048" w:rsidRPr="00A54078" w:rsidRDefault="00C13048" w:rsidP="00151FB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5407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9:30-10:00</w:t>
            </w:r>
          </w:p>
        </w:tc>
        <w:tc>
          <w:tcPr>
            <w:tcW w:w="5580" w:type="dxa"/>
          </w:tcPr>
          <w:p w:rsidR="00C13048" w:rsidRPr="00A54078" w:rsidRDefault="00C13048" w:rsidP="00C1304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52" w:hanging="180"/>
              <w:rPr>
                <w:rFonts w:ascii="Segoe UI Semibold" w:hAnsi="Segoe UI Semibold" w:cs="Andalus"/>
                <w:b/>
                <w:bCs/>
                <w:sz w:val="26"/>
                <w:szCs w:val="26"/>
              </w:rPr>
            </w:pPr>
            <w:r w:rsidRPr="00A54078">
              <w:rPr>
                <w:rFonts w:ascii="Segoe UI Semibold" w:hAnsi="Segoe UI Semibold" w:cs="Andalus"/>
                <w:b/>
                <w:bCs/>
                <w:sz w:val="26"/>
                <w:szCs w:val="26"/>
              </w:rPr>
              <w:t>Importance of power analysis and sample size calculation</w:t>
            </w:r>
          </w:p>
        </w:tc>
        <w:tc>
          <w:tcPr>
            <w:tcW w:w="1980" w:type="dxa"/>
          </w:tcPr>
          <w:p w:rsidR="00C13048" w:rsidRPr="00A54078" w:rsidRDefault="00C13048" w:rsidP="00151FB9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54078">
              <w:rPr>
                <w:rFonts w:asciiTheme="majorBidi" w:hAnsiTheme="majorBidi" w:cstheme="majorBidi"/>
                <w:sz w:val="24"/>
                <w:szCs w:val="24"/>
              </w:rPr>
              <w:t xml:space="preserve">Prof., </w:t>
            </w:r>
            <w:proofErr w:type="spellStart"/>
            <w:r w:rsidRPr="00A54078">
              <w:rPr>
                <w:rFonts w:asciiTheme="majorBidi" w:hAnsiTheme="majorBidi" w:cstheme="majorBidi"/>
                <w:sz w:val="24"/>
                <w:szCs w:val="24"/>
              </w:rPr>
              <w:t>Kabbash</w:t>
            </w:r>
            <w:proofErr w:type="spellEnd"/>
          </w:p>
        </w:tc>
      </w:tr>
      <w:tr w:rsidR="00A54078" w:rsidRPr="00A54078" w:rsidTr="00151FB9">
        <w:trPr>
          <w:trHeight w:val="1097"/>
        </w:trPr>
        <w:tc>
          <w:tcPr>
            <w:tcW w:w="1705" w:type="dxa"/>
          </w:tcPr>
          <w:p w:rsidR="00C13048" w:rsidRPr="00A54078" w:rsidRDefault="00C13048" w:rsidP="00151FB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5407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10:00-11:00</w:t>
            </w:r>
          </w:p>
        </w:tc>
        <w:tc>
          <w:tcPr>
            <w:tcW w:w="5580" w:type="dxa"/>
          </w:tcPr>
          <w:p w:rsidR="00C13048" w:rsidRPr="00A54078" w:rsidRDefault="00C13048" w:rsidP="00C1304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52" w:hanging="180"/>
              <w:rPr>
                <w:rFonts w:ascii="Segoe UI Semibold" w:hAnsi="Segoe UI Semibold" w:cs="Andalus"/>
                <w:b/>
                <w:bCs/>
                <w:sz w:val="26"/>
                <w:szCs w:val="26"/>
              </w:rPr>
            </w:pPr>
            <w:r w:rsidRPr="00A54078">
              <w:rPr>
                <w:rFonts w:ascii="Segoe UI Semibold" w:hAnsi="Segoe UI Semibold" w:cs="Andalus"/>
                <w:b/>
                <w:bCs/>
                <w:sz w:val="26"/>
                <w:szCs w:val="26"/>
              </w:rPr>
              <w:t>Data needed for power analysis and sample size calculation</w:t>
            </w:r>
          </w:p>
        </w:tc>
        <w:tc>
          <w:tcPr>
            <w:tcW w:w="1980" w:type="dxa"/>
          </w:tcPr>
          <w:p w:rsidR="00C13048" w:rsidRPr="00A54078" w:rsidRDefault="00C13048" w:rsidP="00151FB9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54078">
              <w:rPr>
                <w:rFonts w:asciiTheme="majorBidi" w:hAnsiTheme="majorBidi" w:cstheme="majorBidi"/>
                <w:sz w:val="24"/>
                <w:szCs w:val="24"/>
              </w:rPr>
              <w:t xml:space="preserve">Prof., </w:t>
            </w:r>
            <w:proofErr w:type="spellStart"/>
            <w:r w:rsidRPr="00A54078">
              <w:rPr>
                <w:rFonts w:asciiTheme="majorBidi" w:hAnsiTheme="majorBidi" w:cstheme="majorBidi"/>
                <w:sz w:val="24"/>
                <w:szCs w:val="24"/>
              </w:rPr>
              <w:t>Kabbash</w:t>
            </w:r>
            <w:proofErr w:type="spellEnd"/>
          </w:p>
        </w:tc>
      </w:tr>
      <w:tr w:rsidR="00A54078" w:rsidRPr="00A54078" w:rsidTr="00151FB9">
        <w:tc>
          <w:tcPr>
            <w:tcW w:w="1705" w:type="dxa"/>
          </w:tcPr>
          <w:p w:rsidR="00C13048" w:rsidRPr="00A54078" w:rsidRDefault="00C13048" w:rsidP="00151FB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5407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11:00-12:00</w:t>
            </w:r>
          </w:p>
        </w:tc>
        <w:tc>
          <w:tcPr>
            <w:tcW w:w="5580" w:type="dxa"/>
          </w:tcPr>
          <w:p w:rsidR="00C13048" w:rsidRPr="00A54078" w:rsidRDefault="00C13048" w:rsidP="00C1304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52" w:hanging="180"/>
              <w:rPr>
                <w:rFonts w:ascii="Segoe UI Semibold" w:hAnsi="Segoe UI Semibold" w:cs="Andalus"/>
                <w:b/>
                <w:bCs/>
                <w:sz w:val="24"/>
                <w:szCs w:val="24"/>
              </w:rPr>
            </w:pPr>
            <w:r w:rsidRPr="00A54078">
              <w:rPr>
                <w:rFonts w:ascii="Segoe UI Semibold" w:hAnsi="Segoe UI Semibold" w:cs="Andalus"/>
                <w:b/>
                <w:bCs/>
                <w:sz w:val="24"/>
                <w:szCs w:val="24"/>
              </w:rPr>
              <w:t xml:space="preserve">The concept of internal and external validity. </w:t>
            </w:r>
          </w:p>
          <w:p w:rsidR="00C13048" w:rsidRPr="00A54078" w:rsidRDefault="00C13048" w:rsidP="00C1304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52" w:hanging="180"/>
              <w:rPr>
                <w:rFonts w:ascii="Segoe UI Semibold" w:hAnsi="Segoe UI Semibold" w:cs="Andalus"/>
                <w:b/>
                <w:bCs/>
                <w:sz w:val="26"/>
                <w:szCs w:val="26"/>
              </w:rPr>
            </w:pPr>
            <w:r w:rsidRPr="00A54078">
              <w:rPr>
                <w:rFonts w:ascii="Segoe UI Semibold" w:hAnsi="Segoe UI Semibold" w:cs="Andalus"/>
                <w:b/>
                <w:bCs/>
                <w:sz w:val="26"/>
                <w:szCs w:val="26"/>
              </w:rPr>
              <w:t>Type I &amp; II statistical errors</w:t>
            </w:r>
          </w:p>
        </w:tc>
        <w:tc>
          <w:tcPr>
            <w:tcW w:w="1980" w:type="dxa"/>
          </w:tcPr>
          <w:p w:rsidR="00C13048" w:rsidRPr="00A54078" w:rsidRDefault="00C13048" w:rsidP="00151FB9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4078">
              <w:rPr>
                <w:rFonts w:asciiTheme="majorBidi" w:hAnsiTheme="majorBidi" w:cstheme="majorBidi"/>
                <w:sz w:val="24"/>
                <w:szCs w:val="24"/>
              </w:rPr>
              <w:t xml:space="preserve">Prof., </w:t>
            </w:r>
            <w:proofErr w:type="spellStart"/>
            <w:r w:rsidRPr="00A54078">
              <w:rPr>
                <w:rFonts w:asciiTheme="majorBidi" w:hAnsiTheme="majorBidi" w:cstheme="majorBidi"/>
                <w:sz w:val="24"/>
                <w:szCs w:val="24"/>
              </w:rPr>
              <w:t>Abou-Zied</w:t>
            </w:r>
            <w:proofErr w:type="spellEnd"/>
          </w:p>
        </w:tc>
      </w:tr>
      <w:tr w:rsidR="00A54078" w:rsidRPr="00A54078" w:rsidTr="00151FB9">
        <w:tc>
          <w:tcPr>
            <w:tcW w:w="1705" w:type="dxa"/>
            <w:shd w:val="clear" w:color="auto" w:fill="D9D9D9" w:themeFill="background1" w:themeFillShade="D9"/>
          </w:tcPr>
          <w:p w:rsidR="00C13048" w:rsidRPr="00A54078" w:rsidRDefault="00C13048" w:rsidP="00151FB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5407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12:00-12:30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:rsidR="00C13048" w:rsidRPr="00A54078" w:rsidRDefault="00C13048" w:rsidP="00151FB9">
            <w:pPr>
              <w:spacing w:line="480" w:lineRule="auto"/>
              <w:ind w:left="252" w:hanging="180"/>
              <w:jc w:val="center"/>
              <w:rPr>
                <w:rFonts w:ascii="Segoe UI Semibold" w:hAnsi="Segoe UI Semibold" w:cs="Andalus"/>
                <w:b/>
                <w:bCs/>
                <w:sz w:val="26"/>
                <w:szCs w:val="26"/>
              </w:rPr>
            </w:pPr>
            <w:r w:rsidRPr="00A54078">
              <w:rPr>
                <w:rFonts w:ascii="Segoe UI Semibold" w:hAnsi="Segoe UI Semibold" w:cs="Andalus"/>
                <w:b/>
                <w:bCs/>
                <w:sz w:val="26"/>
                <w:szCs w:val="26"/>
              </w:rPr>
              <w:t xml:space="preserve">Break 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C13048" w:rsidRPr="00A54078" w:rsidRDefault="00C13048" w:rsidP="00151FB9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54078" w:rsidRPr="00A54078" w:rsidTr="00151FB9">
        <w:tc>
          <w:tcPr>
            <w:tcW w:w="1705" w:type="dxa"/>
          </w:tcPr>
          <w:p w:rsidR="00C13048" w:rsidRPr="00A54078" w:rsidRDefault="00C13048" w:rsidP="00151FB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5407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12:30-1:00</w:t>
            </w:r>
          </w:p>
        </w:tc>
        <w:tc>
          <w:tcPr>
            <w:tcW w:w="5580" w:type="dxa"/>
          </w:tcPr>
          <w:p w:rsidR="00C13048" w:rsidRPr="00A54078" w:rsidRDefault="00C13048" w:rsidP="00C1304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52" w:hanging="180"/>
              <w:rPr>
                <w:rFonts w:ascii="Segoe UI Semibold" w:hAnsi="Segoe UI Semibold" w:cs="Andalus"/>
                <w:b/>
                <w:bCs/>
                <w:sz w:val="26"/>
                <w:szCs w:val="26"/>
              </w:rPr>
            </w:pPr>
            <w:r w:rsidRPr="00A54078">
              <w:rPr>
                <w:rFonts w:ascii="Segoe UI Semibold" w:hAnsi="Segoe UI Semibold" w:cs="Andalus"/>
                <w:b/>
                <w:bCs/>
                <w:sz w:val="26"/>
                <w:szCs w:val="26"/>
              </w:rPr>
              <w:t xml:space="preserve">Hand on power analysis and  sample size calculation using Epi-Info </w:t>
            </w:r>
          </w:p>
        </w:tc>
        <w:tc>
          <w:tcPr>
            <w:tcW w:w="1980" w:type="dxa"/>
          </w:tcPr>
          <w:p w:rsidR="00C13048" w:rsidRPr="00A54078" w:rsidRDefault="00C13048" w:rsidP="00151FB9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54078">
              <w:rPr>
                <w:rFonts w:asciiTheme="majorBidi" w:hAnsiTheme="majorBidi" w:cstheme="majorBidi"/>
                <w:sz w:val="24"/>
                <w:szCs w:val="24"/>
              </w:rPr>
              <w:t xml:space="preserve">Prof., </w:t>
            </w:r>
            <w:proofErr w:type="spellStart"/>
            <w:r w:rsidRPr="00A54078">
              <w:rPr>
                <w:rFonts w:asciiTheme="majorBidi" w:hAnsiTheme="majorBidi" w:cstheme="majorBidi"/>
                <w:sz w:val="24"/>
                <w:szCs w:val="24"/>
              </w:rPr>
              <w:t>Kabbash</w:t>
            </w:r>
            <w:proofErr w:type="spellEnd"/>
          </w:p>
        </w:tc>
      </w:tr>
      <w:tr w:rsidR="00A54078" w:rsidRPr="00A54078" w:rsidTr="00151FB9">
        <w:tc>
          <w:tcPr>
            <w:tcW w:w="1705" w:type="dxa"/>
          </w:tcPr>
          <w:p w:rsidR="00C13048" w:rsidRPr="00A54078" w:rsidRDefault="00C13048" w:rsidP="00151FB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5407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1:00-2:00</w:t>
            </w:r>
          </w:p>
        </w:tc>
        <w:tc>
          <w:tcPr>
            <w:tcW w:w="5580" w:type="dxa"/>
          </w:tcPr>
          <w:p w:rsidR="00C13048" w:rsidRPr="00A54078" w:rsidRDefault="00C13048" w:rsidP="00C1304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52" w:hanging="180"/>
              <w:rPr>
                <w:rFonts w:ascii="Segoe UI Semibold" w:hAnsi="Segoe UI Semibold" w:cs="Andalus"/>
                <w:b/>
                <w:bCs/>
                <w:sz w:val="26"/>
                <w:szCs w:val="26"/>
              </w:rPr>
            </w:pPr>
            <w:r w:rsidRPr="00A54078">
              <w:rPr>
                <w:rFonts w:ascii="Segoe UI Semibold" w:hAnsi="Segoe UI Semibold" w:cs="Andalus"/>
                <w:b/>
                <w:bCs/>
                <w:sz w:val="26"/>
                <w:szCs w:val="26"/>
              </w:rPr>
              <w:t>Practical work by trainees on Epi-Info</w:t>
            </w:r>
          </w:p>
        </w:tc>
        <w:tc>
          <w:tcPr>
            <w:tcW w:w="1980" w:type="dxa"/>
          </w:tcPr>
          <w:p w:rsidR="00C13048" w:rsidRPr="00A54078" w:rsidRDefault="00C13048" w:rsidP="00151FB9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54078">
              <w:rPr>
                <w:rFonts w:asciiTheme="majorBidi" w:hAnsiTheme="majorBidi" w:cstheme="majorBidi"/>
                <w:sz w:val="24"/>
                <w:szCs w:val="24"/>
              </w:rPr>
              <w:t xml:space="preserve">Prof., </w:t>
            </w:r>
            <w:proofErr w:type="spellStart"/>
            <w:r w:rsidRPr="00A54078">
              <w:rPr>
                <w:rFonts w:asciiTheme="majorBidi" w:hAnsiTheme="majorBidi" w:cstheme="majorBidi"/>
                <w:sz w:val="24"/>
                <w:szCs w:val="24"/>
              </w:rPr>
              <w:t>Kabbash</w:t>
            </w:r>
            <w:proofErr w:type="spellEnd"/>
          </w:p>
        </w:tc>
      </w:tr>
      <w:tr w:rsidR="00A54078" w:rsidRPr="00A54078" w:rsidTr="00151FB9">
        <w:tc>
          <w:tcPr>
            <w:tcW w:w="1705" w:type="dxa"/>
          </w:tcPr>
          <w:p w:rsidR="00C13048" w:rsidRPr="00A54078" w:rsidRDefault="00C13048" w:rsidP="00151FB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5407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2:00-3:00</w:t>
            </w:r>
          </w:p>
        </w:tc>
        <w:tc>
          <w:tcPr>
            <w:tcW w:w="5580" w:type="dxa"/>
          </w:tcPr>
          <w:p w:rsidR="00C13048" w:rsidRPr="00A54078" w:rsidRDefault="00C13048" w:rsidP="00C1304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52" w:hanging="180"/>
              <w:rPr>
                <w:rFonts w:ascii="Segoe UI Semibold" w:hAnsi="Segoe UI Semibold" w:cs="Andalus"/>
                <w:b/>
                <w:bCs/>
                <w:sz w:val="26"/>
                <w:szCs w:val="26"/>
              </w:rPr>
            </w:pPr>
            <w:r w:rsidRPr="00A54078">
              <w:rPr>
                <w:rFonts w:ascii="Segoe UI Semibold" w:hAnsi="Segoe UI Semibold" w:cs="Andalus"/>
                <w:b/>
                <w:bCs/>
                <w:sz w:val="26"/>
                <w:szCs w:val="26"/>
              </w:rPr>
              <w:t>Probability methods for sample section</w:t>
            </w:r>
          </w:p>
        </w:tc>
        <w:tc>
          <w:tcPr>
            <w:tcW w:w="1980" w:type="dxa"/>
          </w:tcPr>
          <w:p w:rsidR="00C13048" w:rsidRPr="00A54078" w:rsidRDefault="00C13048" w:rsidP="00151FB9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4078">
              <w:rPr>
                <w:rFonts w:asciiTheme="majorBidi" w:hAnsiTheme="majorBidi" w:cstheme="majorBidi"/>
                <w:sz w:val="24"/>
                <w:szCs w:val="24"/>
              </w:rPr>
              <w:t xml:space="preserve">Prof., </w:t>
            </w:r>
            <w:proofErr w:type="spellStart"/>
            <w:r w:rsidRPr="00A54078">
              <w:rPr>
                <w:rFonts w:asciiTheme="majorBidi" w:hAnsiTheme="majorBidi" w:cstheme="majorBidi"/>
                <w:sz w:val="24"/>
                <w:szCs w:val="24"/>
              </w:rPr>
              <w:t>Abou-Zied</w:t>
            </w:r>
            <w:proofErr w:type="spellEnd"/>
          </w:p>
        </w:tc>
      </w:tr>
      <w:tr w:rsidR="00A54078" w:rsidRPr="00A54078" w:rsidTr="00151FB9">
        <w:tc>
          <w:tcPr>
            <w:tcW w:w="1705" w:type="dxa"/>
            <w:shd w:val="clear" w:color="auto" w:fill="D9D9D9" w:themeFill="background1" w:themeFillShade="D9"/>
          </w:tcPr>
          <w:p w:rsidR="00C13048" w:rsidRPr="00A54078" w:rsidRDefault="00C13048" w:rsidP="00151FB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5407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3:00 -3:30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:rsidR="00C13048" w:rsidRPr="00A54078" w:rsidRDefault="00C13048" w:rsidP="00151FB9">
            <w:pPr>
              <w:spacing w:line="480" w:lineRule="auto"/>
              <w:jc w:val="center"/>
              <w:rPr>
                <w:rFonts w:ascii="Segoe UI Semibold" w:hAnsi="Segoe UI Semibold" w:cs="Andalus"/>
                <w:b/>
                <w:bCs/>
                <w:sz w:val="26"/>
                <w:szCs w:val="26"/>
              </w:rPr>
            </w:pPr>
            <w:r w:rsidRPr="00A54078">
              <w:rPr>
                <w:rFonts w:ascii="Segoe UI Semibold" w:hAnsi="Segoe UI Semibold" w:cs="Andalus"/>
                <w:b/>
                <w:bCs/>
                <w:sz w:val="26"/>
                <w:szCs w:val="26"/>
              </w:rPr>
              <w:t>Wrap up and closing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C13048" w:rsidRPr="00A54078" w:rsidRDefault="00C13048" w:rsidP="00151FB9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C13048" w:rsidRPr="00A54078" w:rsidRDefault="00C13048" w:rsidP="00C13048">
      <w:p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C13048" w:rsidRPr="00A54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1E29"/>
    <w:multiLevelType w:val="hybridMultilevel"/>
    <w:tmpl w:val="6770B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06810"/>
    <w:multiLevelType w:val="hybridMultilevel"/>
    <w:tmpl w:val="41FA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6670F"/>
    <w:multiLevelType w:val="hybridMultilevel"/>
    <w:tmpl w:val="EFD2F8FE"/>
    <w:lvl w:ilvl="0" w:tplc="4C802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57DF6"/>
    <w:multiLevelType w:val="hybridMultilevel"/>
    <w:tmpl w:val="11F8B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20AF1"/>
    <w:multiLevelType w:val="hybridMultilevel"/>
    <w:tmpl w:val="D90AFEFA"/>
    <w:lvl w:ilvl="0" w:tplc="4C8025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8A5886"/>
    <w:multiLevelType w:val="hybridMultilevel"/>
    <w:tmpl w:val="86980B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AD4EFE"/>
    <w:multiLevelType w:val="hybridMultilevel"/>
    <w:tmpl w:val="7B7226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93"/>
    <w:rsid w:val="00076F5D"/>
    <w:rsid w:val="00150641"/>
    <w:rsid w:val="002276DA"/>
    <w:rsid w:val="00235AA0"/>
    <w:rsid w:val="002C3FD2"/>
    <w:rsid w:val="002C68D0"/>
    <w:rsid w:val="002E2363"/>
    <w:rsid w:val="002E4FEE"/>
    <w:rsid w:val="00355493"/>
    <w:rsid w:val="00357E8D"/>
    <w:rsid w:val="00435E1D"/>
    <w:rsid w:val="004C6CA4"/>
    <w:rsid w:val="0053525C"/>
    <w:rsid w:val="0056211E"/>
    <w:rsid w:val="005C6C9F"/>
    <w:rsid w:val="006B4C85"/>
    <w:rsid w:val="006C0158"/>
    <w:rsid w:val="007370B2"/>
    <w:rsid w:val="00737486"/>
    <w:rsid w:val="00773396"/>
    <w:rsid w:val="007A47D1"/>
    <w:rsid w:val="007E3F9A"/>
    <w:rsid w:val="008536A7"/>
    <w:rsid w:val="00887E5F"/>
    <w:rsid w:val="008B704C"/>
    <w:rsid w:val="009244D4"/>
    <w:rsid w:val="00954B71"/>
    <w:rsid w:val="00985AD1"/>
    <w:rsid w:val="00A23505"/>
    <w:rsid w:val="00A54078"/>
    <w:rsid w:val="00B074CD"/>
    <w:rsid w:val="00B22ADE"/>
    <w:rsid w:val="00B27F9D"/>
    <w:rsid w:val="00C13048"/>
    <w:rsid w:val="00C17FF5"/>
    <w:rsid w:val="00C82F13"/>
    <w:rsid w:val="00CA34F1"/>
    <w:rsid w:val="00D30ECC"/>
    <w:rsid w:val="00E662A9"/>
    <w:rsid w:val="00F3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5BB31-63B7-4EAC-B8AE-D2AC0430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493"/>
    <w:pPr>
      <w:ind w:left="720"/>
      <w:contextualSpacing/>
    </w:pPr>
  </w:style>
  <w:style w:type="table" w:styleId="TableGrid">
    <w:name w:val="Table Grid"/>
    <w:basedOn w:val="TableNormal"/>
    <w:uiPriority w:val="39"/>
    <w:rsid w:val="00150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4</cp:revision>
  <dcterms:created xsi:type="dcterms:W3CDTF">2019-10-29T15:23:00Z</dcterms:created>
  <dcterms:modified xsi:type="dcterms:W3CDTF">2019-10-30T11:13:00Z</dcterms:modified>
</cp:coreProperties>
</file>